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2621280</wp:posOffset>
            </wp:positionH>
            <wp:positionV relativeFrom="paragraph">
              <wp:posOffset>-162560</wp:posOffset>
            </wp:positionV>
            <wp:extent cx="426720" cy="248920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0A00AD" w:rsidRPr="000A00AD">
        <w:rPr>
          <w:rFonts w:ascii="Arial Black" w:hAnsi="Arial Black"/>
          <w:color w:val="0070C0"/>
          <w:sz w:val="30"/>
          <w:szCs w:val="30"/>
          <w:lang w:val="uk-UA"/>
        </w:rPr>
        <w:t>OXFORD 2026: SCIENCE AND EDUCATION TODAY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0A00AD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21-23 вересня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Оксфорд</w:t>
      </w:r>
      <w:r w:rsidR="00E5534D">
        <w:rPr>
          <w:b/>
          <w:i/>
          <w:sz w:val="28"/>
          <w:szCs w:val="30"/>
          <w:lang w:val="uk-UA"/>
        </w:rPr>
        <w:t>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0A00AD">
        <w:rPr>
          <w:b/>
          <w:noProof/>
          <w:szCs w:val="28"/>
          <w:lang w:val="ru-RU"/>
        </w:rPr>
        <w:t>20 вересня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  <w:bookmarkStart w:id="0" w:name="_GoBack"/>
      <w:bookmarkEnd w:id="0"/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5845A2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0A00AD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A2" w:rsidRDefault="005845A2" w:rsidP="00047EA3">
      <w:r>
        <w:separator/>
      </w:r>
    </w:p>
  </w:endnote>
  <w:endnote w:type="continuationSeparator" w:id="0">
    <w:p w:rsidR="005845A2" w:rsidRDefault="005845A2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A2" w:rsidRDefault="005845A2" w:rsidP="00047EA3">
      <w:r>
        <w:separator/>
      </w:r>
    </w:p>
  </w:footnote>
  <w:footnote w:type="continuationSeparator" w:id="0">
    <w:p w:rsidR="005845A2" w:rsidRDefault="005845A2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00AD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845A2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2C1C0-FA23-45FF-B7D8-E429FE83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6425</Words>
  <Characters>3663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10068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2026-05-01T23:31:00Z</dcterms:modified>
</cp:coreProperties>
</file>